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17"/>
        <w:gridCol w:w="1983"/>
        <w:gridCol w:w="2083"/>
        <w:gridCol w:w="1198"/>
        <w:gridCol w:w="1265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2023年琅琊区企业引进人才及聘用务工人员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住房优惠政策拟兑现资金一览表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政策补贴标准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企业已到位金额（万元）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申请政府补贴金额（万元）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吴然棉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高级管理人员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住房总额的30%，不超过30万元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安徽成君电气设备有限公司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白象飞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高级管理人员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住房总额的30%，不超过30万元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昇兴（安徽）包装有限公司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黄金龙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高级管理人员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住房总额的30%，不超过30万元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美心（安徽）卫生用品有限公司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高级管理人员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住房总额的30%，不超过30万元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安徽富邦装配式建筑有限公司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李天举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安徽光智科技有限公司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阚明珠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安徽成君电气设备有限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絮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高职院校毕业生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廖纯宏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廖纯云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王文丽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2万元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九华华源药业股份有限公司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TNhYWIzNTA5NWI3MDc1MWVjMGI3ZWI1Njk5MTUifQ=="/>
  </w:docVars>
  <w:rsids>
    <w:rsidRoot w:val="00000000"/>
    <w:rsid w:val="334B5648"/>
    <w:rsid w:val="3E6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2023-12-01T07:48:00Z</dcterms:created>
  <dc:creator>Administrator</dc:creator>
  <cp:lastModifiedBy>圣诞树</cp:lastModifiedBy>
  <dcterms:modified xsi:type="dcterms:W3CDTF">2023-12-01T08:26:11Z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608D9B3A43F64943A54734CA3A216B36_12</vt:lpwstr>
  </property>
</Properties>
</file>